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Hindu wedding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Baraat Procession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arrives in high spirits accompanied by dhol drummers and dancing family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Resort Entrance Promenade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Milni Welcome Ritual</w:t>
      </w:r>
    </w:p>
    <w:p>
      <w:pPr>
        <w:spacing w:line="240" w:before="60" w:after="60"/>
      </w:pPr>
      <w:r>
        <w:rPr>
          <w:sz w:val="24"/>
          <w:szCs w:val="24"/>
        </w:rPr>
        <w:t xml:space="preserve">The bride's family officially welcomes the groom's procession with flower garlands and traditional blessings.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Gateway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Jaimala Garland Exchange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groom exchange floral garlands on stage to symbolize mutual acceptance.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Lawn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Mandap Entry and Ganesh Puja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moves to the mandap where sacred prayers to Lord Ganesha commence the wedding rituals.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Wedding Mandap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12:10 – 12:40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Kanyadaan Ritual</w:t>
      </w:r>
    </w:p>
    <w:p>
      <w:pPr>
        <w:spacing w:line="240" w:before="60" w:after="60"/>
      </w:pPr>
      <w:r>
        <w:rPr>
          <w:sz w:val="24"/>
          <w:szCs w:val="24"/>
        </w:rPr>
        <w:t xml:space="preserve">The bride's parents entrust their daughter to the groom by placing her hands in his while pouring sacred water.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Wedding Mandap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12:40 – 13:20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Saat Phere (Seven Vows)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circles the sacred agni fire seven times, taking lifelong vows for happiness, health, and togetherness.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Wedding Mandap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13:20 – 13:50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Sindoor and Mangalsutra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places vermillion on the bride's hair parting and ties the sacred mangalsutra around her neck.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Wedding Mandap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13:50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Traditional Wedding Lunch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lavish traditional vegetarian feast served following the completion of the morning rituals.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Royal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Couples Photography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married couple takes formal portraits and group photos with extended family before the evening party.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Palace Courtyard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Reception Grand Entrance and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makes a grand entry into the ballroom followed by toasts from family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Reception Buffet Dinner</w:t>
      </w:r>
    </w:p>
    <w:p>
      <w:pPr>
        <w:spacing w:line="240" w:before="60" w:after="60"/>
      </w:pPr>
      <w:r>
        <w:rPr>
          <w:sz w:val="24"/>
          <w:szCs w:val="24"/>
        </w:rPr>
        <w:t xml:space="preserve">An extravagant multi-cuisine buffet opens for all guests accompanied by live instrumental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Sangeet Performances and Open Dance Floor</w:t>
      </w:r>
    </w:p>
    <w:p>
      <w:pPr>
        <w:spacing w:line="240" w:before="60" w:after="60"/>
      </w:pPr>
      <w:r>
        <w:rPr>
          <w:sz w:val="24"/>
          <w:szCs w:val="24"/>
        </w:rPr>
        <w:t xml:space="preserve">Choreographed dance numbers by family members transition into an open dance floor with a live DJ.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flggyig-m2e_dn3nwqq4z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flggyig-m2e_dn3nwqq4z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2026-07-22T22:20:18.501Z</dcterms:created>
  <dcterms:modified xsi:type="dcterms:W3CDTF">2026-07-22T22:20:18.501Z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