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Budget presentation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Media Arrival and 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Journalists, delegates, and guests check in at the reception desk while enjoying light refreshments. Press badges and preliminary press packs will be distributed during this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 and Agenda Overview</w:t>
      </w:r>
    </w:p>
    <w:p>
      <w:pPr>
        <w:spacing w:line="240" w:before="60" w:after="60"/>
      </w:pPr>
      <w:r>
        <w:rPr>
          <w:sz w:val="24"/>
          <w:szCs w:val="24"/>
        </w:rPr>
        <w:t xml:space="preserve">The press secretary welcomes attendees and outlines the schedule for the budget release. Guidelines for the embargoed session and Q&amp;A protocols are clearly briefed.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Budget Document Release</w:t>
      </w:r>
    </w:p>
    <w:p>
      <w:pPr>
        <w:spacing w:line="240" w:before="60" w:after="60"/>
      </w:pPr>
      <w:r>
        <w:rPr>
          <w:sz w:val="24"/>
          <w:szCs w:val="24"/>
        </w:rPr>
        <w:t xml:space="preserve">Digital and print copies of the official annual budget document are formally released to accredited media. Attendees can access full fiscal reports and summary highlights.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Finance Minister Keynote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Minister of Finance presents the core strategic priorities, economic forecasts, and revenue allocation plan. The speech outlines major policy changes and fiscal projections for the upcoming fiscal year.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Detailed Fiscal Breakdown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Senior treasury officials present a technical breakdown of government expenditure and tax reform policies. Slide presentations highlight sector-by-sector funding allocations.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take a short pause to review distributed budget materials over coffee and tea. Attendees can converse informally before the open questioning session begins.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Foyer,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Ministerial Press Q&amp;A Session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the press and accredited analysts pose direct questions to the Minister and treasury team. The panel addresses public concerns, revenue targets, and economic assumptions.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Economic Analyst Commentary and Panel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Prominent economic analysts and policy experts discuss the macroeconomic implications of the budget. They provide immediate reactions and detailed commentary for broadcasting networks.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Briefing Room B,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Official Press Photo Opportunity</w:t>
      </w:r>
    </w:p>
    <w:p>
      <w:pPr>
        <w:spacing w:line="240" w:before="60" w:after="60"/>
      </w:pPr>
      <w:r>
        <w:rPr>
          <w:sz w:val="24"/>
          <w:szCs w:val="24"/>
        </w:rPr>
        <w:t xml:space="preserve">The Minister of Finance poses with the official budget dispatch box and key cabinet members. Photographers and news crews capture official imagery for publication.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Parliament Press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Delegation Luncheon and Networking</w:t>
      </w:r>
    </w:p>
    <w:p>
      <w:pPr>
        <w:spacing w:line="240" w:before="60" w:after="60"/>
      </w:pPr>
      <w:r>
        <w:rPr>
          <w:sz w:val="24"/>
          <w:szCs w:val="24"/>
        </w:rPr>
        <w:t xml:space="preserve">Attendees, government representatives, and media members gather for a catered luncheon. The informal setting allows for extended discussions on the budget presentation outcomes.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Hall, Parliament Press Center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od2bkr4wpjlyzqhodyaxx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od2bkr4wpjlyzqhodyax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2026-07-23T11:44:08.055Z</dcterms:created>
  <dcterms:modified xsi:type="dcterms:W3CDTF">2026-07-23T11:44:08.055Z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